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6EA" w:rsidRDefault="009D46EA" w:rsidP="009D46EA">
      <w:pPr>
        <w:shd w:val="clear" w:color="auto" w:fill="FFFFFF"/>
        <w:tabs>
          <w:tab w:val="left" w:pos="450"/>
        </w:tabs>
        <w:spacing w:after="150" w:line="480" w:lineRule="auto"/>
        <w:jc w:val="center"/>
        <w:rPr>
          <w:rFonts w:ascii="Times New Roman" w:hAnsi="Times New Roman" w:cs="Times New Roman"/>
          <w:sz w:val="24"/>
          <w:szCs w:val="24"/>
        </w:rPr>
      </w:pPr>
    </w:p>
    <w:p w:rsidR="009D46EA" w:rsidRDefault="009D46EA" w:rsidP="009D46EA">
      <w:pPr>
        <w:shd w:val="clear" w:color="auto" w:fill="FFFFFF"/>
        <w:tabs>
          <w:tab w:val="left" w:pos="450"/>
        </w:tabs>
        <w:spacing w:after="150" w:line="480" w:lineRule="auto"/>
        <w:jc w:val="center"/>
        <w:rPr>
          <w:rFonts w:ascii="Times New Roman" w:hAnsi="Times New Roman" w:cs="Times New Roman"/>
          <w:sz w:val="24"/>
          <w:szCs w:val="24"/>
        </w:rPr>
      </w:pPr>
    </w:p>
    <w:p w:rsidR="009D46EA" w:rsidRDefault="009D46EA" w:rsidP="009D46EA">
      <w:pPr>
        <w:shd w:val="clear" w:color="auto" w:fill="FFFFFF"/>
        <w:tabs>
          <w:tab w:val="left" w:pos="450"/>
        </w:tabs>
        <w:spacing w:after="150" w:line="480" w:lineRule="auto"/>
        <w:jc w:val="center"/>
        <w:rPr>
          <w:rFonts w:ascii="Times New Roman" w:hAnsi="Times New Roman" w:cs="Times New Roman"/>
          <w:sz w:val="24"/>
          <w:szCs w:val="24"/>
        </w:rPr>
      </w:pPr>
    </w:p>
    <w:p w:rsidR="009D46EA" w:rsidRDefault="009D46EA" w:rsidP="009D46EA">
      <w:pPr>
        <w:shd w:val="clear" w:color="auto" w:fill="FFFFFF"/>
        <w:tabs>
          <w:tab w:val="left" w:pos="450"/>
        </w:tabs>
        <w:spacing w:after="150" w:line="480" w:lineRule="auto"/>
        <w:jc w:val="center"/>
        <w:rPr>
          <w:rFonts w:ascii="Times New Roman" w:hAnsi="Times New Roman" w:cs="Times New Roman"/>
          <w:sz w:val="24"/>
          <w:szCs w:val="24"/>
        </w:rPr>
      </w:pPr>
    </w:p>
    <w:p w:rsidR="009D46EA" w:rsidRDefault="009D46EA" w:rsidP="009D46EA">
      <w:pPr>
        <w:shd w:val="clear" w:color="auto" w:fill="FFFFFF"/>
        <w:tabs>
          <w:tab w:val="left" w:pos="450"/>
        </w:tabs>
        <w:spacing w:after="150" w:line="480" w:lineRule="auto"/>
        <w:jc w:val="center"/>
        <w:rPr>
          <w:rFonts w:ascii="Times New Roman" w:hAnsi="Times New Roman" w:cs="Times New Roman"/>
          <w:sz w:val="24"/>
          <w:szCs w:val="24"/>
        </w:rPr>
      </w:pPr>
    </w:p>
    <w:p w:rsidR="00A3716C" w:rsidRDefault="00C66025" w:rsidP="009D46EA">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Pr>
          <w:rFonts w:ascii="Times New Roman" w:hAnsi="Times New Roman" w:cs="Times New Roman"/>
          <w:sz w:val="24"/>
          <w:szCs w:val="24"/>
        </w:rPr>
        <w:t xml:space="preserve">Article Review </w:t>
      </w:r>
      <w:r w:rsidR="00B25BED">
        <w:rPr>
          <w:rFonts w:ascii="Times New Roman" w:hAnsi="Times New Roman" w:cs="Times New Roman"/>
          <w:sz w:val="24"/>
          <w:szCs w:val="24"/>
        </w:rPr>
        <w:t>1</w:t>
      </w:r>
      <w:r>
        <w:rPr>
          <w:rFonts w:ascii="Times New Roman" w:hAnsi="Times New Roman" w:cs="Times New Roman"/>
          <w:sz w:val="24"/>
          <w:szCs w:val="24"/>
        </w:rPr>
        <w:t>:</w:t>
      </w:r>
      <w:r w:rsidRPr="00C66025">
        <w:rPr>
          <w:rFonts w:ascii="Times New Roman" w:hAnsi="Times New Roman" w:cs="Times New Roman"/>
          <w:sz w:val="24"/>
          <w:szCs w:val="24"/>
        </w:rPr>
        <w:t xml:space="preserve"> Informed Consent and the Role of the Treating Physician</w:t>
      </w:r>
    </w:p>
    <w:p w:rsidR="00C66025" w:rsidRDefault="00C66025" w:rsidP="009D46EA">
      <w:pPr>
        <w:shd w:val="clear" w:color="auto" w:fill="FFFFFF"/>
        <w:tabs>
          <w:tab w:val="left" w:pos="450"/>
        </w:tabs>
        <w:spacing w:after="150" w:line="480" w:lineRule="auto"/>
        <w:jc w:val="center"/>
        <w:rPr>
          <w:rFonts w:ascii="Times New Roman" w:hAnsi="Times New Roman" w:cs="Times New Roman"/>
          <w:sz w:val="24"/>
          <w:szCs w:val="24"/>
        </w:rPr>
      </w:pPr>
      <w:r w:rsidRPr="005E3720">
        <w:rPr>
          <w:rFonts w:ascii="Times New Roman" w:hAnsi="Times New Roman" w:cs="Times New Roman"/>
          <w:sz w:val="24"/>
          <w:szCs w:val="24"/>
        </w:rPr>
        <w:t>Name of Student</w:t>
      </w:r>
    </w:p>
    <w:p w:rsidR="009D46EA" w:rsidRDefault="009D46EA" w:rsidP="009D46EA">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Institutional Affiliations</w:t>
      </w:r>
    </w:p>
    <w:p w:rsidR="00AC061B" w:rsidRDefault="00AC061B" w:rsidP="009D46EA">
      <w:pPr>
        <w:shd w:val="clear" w:color="auto" w:fill="FFFFFF"/>
        <w:tabs>
          <w:tab w:val="left" w:pos="450"/>
        </w:tabs>
        <w:spacing w:after="15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D46EA" w:rsidRPr="009D46EA" w:rsidRDefault="009D46EA" w:rsidP="009D46EA">
      <w:pPr>
        <w:shd w:val="clear" w:color="auto" w:fill="FFFFFF"/>
        <w:tabs>
          <w:tab w:val="left" w:pos="450"/>
        </w:tabs>
        <w:spacing w:after="150" w:line="480" w:lineRule="auto"/>
        <w:jc w:val="center"/>
        <w:rPr>
          <w:rFonts w:ascii="Times New Roman" w:eastAsia="Times New Roman" w:hAnsi="Times New Roman" w:cs="Times New Roman"/>
          <w:sz w:val="24"/>
          <w:szCs w:val="24"/>
        </w:rPr>
      </w:pPr>
      <w:r w:rsidRPr="009D46EA">
        <w:rPr>
          <w:rFonts w:ascii="Times New Roman" w:eastAsia="Times New Roman" w:hAnsi="Times New Roman" w:cs="Times New Roman"/>
          <w:sz w:val="24"/>
          <w:szCs w:val="24"/>
        </w:rPr>
        <w:lastRenderedPageBreak/>
        <w:t>Article Review 1: Informed Consent and the Role of the Treating Physician</w:t>
      </w:r>
    </w:p>
    <w:p w:rsidR="00155C23" w:rsidRPr="00B25BED" w:rsidRDefault="00C66025" w:rsidP="009D46EA">
      <w:pPr>
        <w:tabs>
          <w:tab w:val="left" w:pos="450"/>
        </w:tabs>
        <w:spacing w:before="240" w:line="480" w:lineRule="auto"/>
        <w:jc w:val="center"/>
        <w:rPr>
          <w:rFonts w:ascii="Times New Roman" w:hAnsi="Times New Roman" w:cs="Times New Roman"/>
          <w:sz w:val="24"/>
          <w:szCs w:val="24"/>
        </w:rPr>
      </w:pPr>
      <w:r w:rsidRPr="00615151">
        <w:rPr>
          <w:rFonts w:ascii="Times New Roman" w:hAnsi="Times New Roman" w:cs="Times New Roman"/>
          <w:b/>
          <w:sz w:val="24"/>
          <w:szCs w:val="24"/>
        </w:rPr>
        <w:t>Informed Consent and the Role of the Treating Physician</w:t>
      </w:r>
    </w:p>
    <w:p w:rsidR="00C210A6" w:rsidRPr="00541D27" w:rsidRDefault="00541D27" w:rsidP="00A3716C">
      <w:pPr>
        <w:tabs>
          <w:tab w:val="left" w:pos="450"/>
        </w:tabs>
        <w:spacing w:after="0" w:line="480" w:lineRule="auto"/>
        <w:ind w:firstLine="720"/>
        <w:contextualSpacing/>
        <w:rPr>
          <w:rFonts w:ascii="Times New Roman" w:hAnsi="Times New Roman" w:cs="Times New Roman"/>
          <w:sz w:val="24"/>
          <w:szCs w:val="24"/>
        </w:rPr>
      </w:pPr>
      <w:r w:rsidRPr="00C21A72">
        <w:rPr>
          <w:rFonts w:ascii="Times New Roman" w:hAnsi="Times New Roman" w:cs="Times New Roman"/>
          <w:sz w:val="24"/>
          <w:szCs w:val="24"/>
        </w:rPr>
        <w:t>The article was derived from New England’s Journal of Medicine, a general medical magazi</w:t>
      </w:r>
      <w:r>
        <w:rPr>
          <w:rFonts w:ascii="Times New Roman" w:hAnsi="Times New Roman" w:cs="Times New Roman"/>
          <w:sz w:val="24"/>
          <w:szCs w:val="24"/>
        </w:rPr>
        <w:t xml:space="preserve">ne that is published weekly. It </w:t>
      </w:r>
      <w:r w:rsidRPr="00C21A72">
        <w:rPr>
          <w:rFonts w:ascii="Times New Roman" w:hAnsi="Times New Roman" w:cs="Times New Roman"/>
          <w:sz w:val="24"/>
          <w:szCs w:val="24"/>
        </w:rPr>
        <w:t>contains the latest medical research and other</w:t>
      </w:r>
      <w:r>
        <w:rPr>
          <w:rFonts w:ascii="Times New Roman" w:hAnsi="Times New Roman" w:cs="Times New Roman"/>
          <w:sz w:val="24"/>
          <w:szCs w:val="24"/>
        </w:rPr>
        <w:t xml:space="preserve"> interesting health</w:t>
      </w:r>
      <w:r w:rsidRPr="00C21A72">
        <w:rPr>
          <w:rFonts w:ascii="Times New Roman" w:hAnsi="Times New Roman" w:cs="Times New Roman"/>
          <w:sz w:val="24"/>
          <w:szCs w:val="24"/>
        </w:rPr>
        <w:t xml:space="preserve"> articles. The article was posted by </w:t>
      </w:r>
      <w:r w:rsidRPr="008B4B61">
        <w:rPr>
          <w:rFonts w:ascii="Times New Roman" w:hAnsi="Times New Roman" w:cs="Times New Roman"/>
          <w:sz w:val="24"/>
          <w:szCs w:val="24"/>
        </w:rPr>
        <w:t>Keren Ladin,</w:t>
      </w:r>
      <w:r>
        <w:rPr>
          <w:rFonts w:ascii="Times New Roman" w:hAnsi="Times New Roman" w:cs="Times New Roman"/>
          <w:sz w:val="24"/>
          <w:szCs w:val="24"/>
        </w:rPr>
        <w:t xml:space="preserve"> </w:t>
      </w:r>
      <w:r w:rsidRPr="008B4B61">
        <w:rPr>
          <w:rFonts w:ascii="Times New Roman" w:hAnsi="Times New Roman" w:cs="Times New Roman"/>
          <w:sz w:val="24"/>
          <w:szCs w:val="24"/>
        </w:rPr>
        <w:t>Zeeshan Butt,</w:t>
      </w:r>
      <w:r>
        <w:rPr>
          <w:rFonts w:ascii="Times New Roman" w:hAnsi="Times New Roman" w:cs="Times New Roman"/>
          <w:sz w:val="24"/>
          <w:szCs w:val="24"/>
        </w:rPr>
        <w:t xml:space="preserve"> Elisa</w:t>
      </w:r>
      <w:r w:rsidRPr="008B4B61">
        <w:rPr>
          <w:rFonts w:ascii="Times New Roman" w:hAnsi="Times New Roman" w:cs="Times New Roman"/>
          <w:sz w:val="24"/>
          <w:szCs w:val="24"/>
        </w:rPr>
        <w:t xml:space="preserve"> Gordon, Joanna Emerson,</w:t>
      </w:r>
      <w:r>
        <w:rPr>
          <w:rFonts w:ascii="Times New Roman" w:hAnsi="Times New Roman" w:cs="Times New Roman"/>
          <w:sz w:val="24"/>
          <w:szCs w:val="24"/>
        </w:rPr>
        <w:t xml:space="preserve"> Douglas </w:t>
      </w:r>
      <w:r w:rsidRPr="008B4B61">
        <w:rPr>
          <w:rFonts w:ascii="Times New Roman" w:hAnsi="Times New Roman" w:cs="Times New Roman"/>
          <w:sz w:val="24"/>
          <w:szCs w:val="24"/>
        </w:rPr>
        <w:t>Hanto,</w:t>
      </w:r>
      <w:r>
        <w:rPr>
          <w:rFonts w:ascii="Times New Roman" w:hAnsi="Times New Roman" w:cs="Times New Roman"/>
          <w:sz w:val="24"/>
          <w:szCs w:val="24"/>
        </w:rPr>
        <w:t xml:space="preserve"> </w:t>
      </w:r>
      <w:r w:rsidRPr="008B4B61">
        <w:rPr>
          <w:rFonts w:ascii="Times New Roman" w:hAnsi="Times New Roman" w:cs="Times New Roman"/>
          <w:sz w:val="24"/>
          <w:szCs w:val="24"/>
        </w:rPr>
        <w:t>Norman Daniels</w:t>
      </w:r>
      <w:r>
        <w:rPr>
          <w:rFonts w:ascii="Times New Roman" w:hAnsi="Times New Roman" w:cs="Times New Roman"/>
          <w:sz w:val="24"/>
          <w:szCs w:val="24"/>
        </w:rPr>
        <w:t>, Jennifer Perloff</w:t>
      </w:r>
      <w:r w:rsidRPr="008B4B61">
        <w:rPr>
          <w:rFonts w:ascii="Times New Roman" w:hAnsi="Times New Roman" w:cs="Times New Roman"/>
          <w:sz w:val="24"/>
          <w:szCs w:val="24"/>
        </w:rPr>
        <w:t>,</w:t>
      </w:r>
      <w:r>
        <w:rPr>
          <w:rFonts w:ascii="Times New Roman" w:hAnsi="Times New Roman" w:cs="Times New Roman"/>
          <w:sz w:val="24"/>
          <w:szCs w:val="24"/>
        </w:rPr>
        <w:t xml:space="preserve"> and </w:t>
      </w:r>
      <w:r w:rsidRPr="008B4B61">
        <w:rPr>
          <w:rFonts w:ascii="Times New Roman" w:hAnsi="Times New Roman" w:cs="Times New Roman"/>
          <w:sz w:val="24"/>
          <w:szCs w:val="24"/>
        </w:rPr>
        <w:t>Tara Lavelle</w:t>
      </w:r>
      <w:r>
        <w:rPr>
          <w:rFonts w:ascii="Times New Roman" w:hAnsi="Times New Roman" w:cs="Times New Roman"/>
          <w:sz w:val="24"/>
          <w:szCs w:val="24"/>
        </w:rPr>
        <w:t xml:space="preserve"> on </w:t>
      </w:r>
      <w:r w:rsidRPr="00C21A72">
        <w:rPr>
          <w:rFonts w:ascii="Times New Roman" w:hAnsi="Times New Roman" w:cs="Times New Roman"/>
          <w:sz w:val="24"/>
          <w:szCs w:val="24"/>
        </w:rPr>
        <w:t>January 01, 2018. The artic</w:t>
      </w:r>
      <w:r>
        <w:rPr>
          <w:rFonts w:ascii="Times New Roman" w:hAnsi="Times New Roman" w:cs="Times New Roman"/>
          <w:sz w:val="24"/>
          <w:szCs w:val="24"/>
        </w:rPr>
        <w:t>le can be accessed on pages 2433 to 2</w:t>
      </w:r>
      <w:r w:rsidRPr="00C21A72">
        <w:rPr>
          <w:rFonts w:ascii="Times New Roman" w:hAnsi="Times New Roman" w:cs="Times New Roman"/>
          <w:sz w:val="24"/>
          <w:szCs w:val="24"/>
        </w:rPr>
        <w:t>4</w:t>
      </w:r>
      <w:r>
        <w:rPr>
          <w:rFonts w:ascii="Times New Roman" w:hAnsi="Times New Roman" w:cs="Times New Roman"/>
          <w:sz w:val="24"/>
          <w:szCs w:val="24"/>
        </w:rPr>
        <w:t>38, 378th volume, and issue 25</w:t>
      </w:r>
      <w:r w:rsidRPr="00C21A72">
        <w:rPr>
          <w:rFonts w:ascii="Times New Roman" w:hAnsi="Times New Roman" w:cs="Times New Roman"/>
          <w:sz w:val="24"/>
          <w:szCs w:val="24"/>
        </w:rPr>
        <w:t xml:space="preserve"> of the publication.</w:t>
      </w:r>
      <w:r>
        <w:rPr>
          <w:rFonts w:ascii="Times New Roman" w:hAnsi="Times New Roman" w:cs="Times New Roman"/>
          <w:sz w:val="24"/>
          <w:szCs w:val="24"/>
        </w:rPr>
        <w:t xml:space="preserve"> </w:t>
      </w:r>
      <w:r w:rsidR="00C210A6" w:rsidRPr="00C210A6">
        <w:rPr>
          <w:rFonts w:ascii="Times New Roman" w:eastAsia="Arial Unicode MS" w:hAnsi="Times New Roman" w:cs="Times New Roman"/>
          <w:color w:val="000000"/>
          <w:sz w:val="24"/>
          <w:szCs w:val="24"/>
          <w:shd w:val="clear" w:color="auto" w:fill="FFFFFF"/>
        </w:rPr>
        <w:t>Informed consent is the right of a patient to be provided with adequate information, by a physician or representative, to permit the patient to make informed decisions concerning whether or not to approve to a procedure or treatment. The patients have a right to decline medical care for various reasons such as religious or personal grounds. Informed consent should be acquired by the health care provider who is sensibly involved with the care of a patient. Hence, a medical student might not get the consent, as they are not permitted to be liable for the patient’s care since the authorized requirement to obtain the informed consent is the responsibility of the attending physician. If the consent is not obtained, a patient has the right to prosecute for health malpractice.</w:t>
      </w:r>
    </w:p>
    <w:p w:rsidR="00C210A6" w:rsidRPr="00C210A6" w:rsidRDefault="00C210A6" w:rsidP="00A3716C">
      <w:pPr>
        <w:tabs>
          <w:tab w:val="left" w:pos="450"/>
        </w:tabs>
        <w:spacing w:before="240" w:line="480" w:lineRule="auto"/>
        <w:ind w:firstLine="720"/>
        <w:contextualSpacing/>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t xml:space="preserve">The article explains why informed consent has become a dominant aspect of medical practice in the United States. The current health system is progressively technology-driven and overly team-based, which brings about significant issues on who should be held responsible for getting the patient’s informed consent. The author contends that just like other features of contemporary medicine, the system should reform the consent process by taking advantage of the division of labour and </w:t>
      </w:r>
      <w:r w:rsidR="0013111A" w:rsidRPr="00C210A6">
        <w:rPr>
          <w:rFonts w:ascii="Times New Roman" w:eastAsia="Arial Unicode MS" w:hAnsi="Times New Roman" w:cs="Times New Roman"/>
          <w:color w:val="000000"/>
          <w:sz w:val="24"/>
          <w:szCs w:val="24"/>
          <w:shd w:val="clear" w:color="auto" w:fill="FFFFFF"/>
        </w:rPr>
        <w:t>specialization</w:t>
      </w:r>
      <w:r w:rsidRPr="00C210A6">
        <w:rPr>
          <w:rFonts w:ascii="Times New Roman" w:eastAsia="Arial Unicode MS" w:hAnsi="Times New Roman" w:cs="Times New Roman"/>
          <w:color w:val="000000"/>
          <w:sz w:val="24"/>
          <w:szCs w:val="24"/>
          <w:shd w:val="clear" w:color="auto" w:fill="FFFFFF"/>
        </w:rPr>
        <w:t xml:space="preserve"> rather than the treating physician individually providing all </w:t>
      </w:r>
      <w:r w:rsidRPr="00C210A6">
        <w:rPr>
          <w:rFonts w:ascii="Times New Roman" w:eastAsia="Arial Unicode MS" w:hAnsi="Times New Roman" w:cs="Times New Roman"/>
          <w:color w:val="000000"/>
          <w:sz w:val="24"/>
          <w:szCs w:val="24"/>
          <w:shd w:val="clear" w:color="auto" w:fill="FFFFFF"/>
        </w:rPr>
        <w:lastRenderedPageBreak/>
        <w:t>the required disclosures. The author analyses the Shinal versus Toms, a current Pennsylvania Supreme Court case to demonstrate the perils of a narrow and rigid method to informed consent.</w:t>
      </w:r>
    </w:p>
    <w:p w:rsidR="00C210A6" w:rsidRPr="00C210A6" w:rsidRDefault="00C210A6" w:rsidP="00A3716C">
      <w:pPr>
        <w:tabs>
          <w:tab w:val="left" w:pos="450"/>
        </w:tabs>
        <w:spacing w:before="240" w:line="480" w:lineRule="auto"/>
        <w:ind w:firstLine="720"/>
        <w:contextualSpacing/>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t>In June last year, the Pennsylvania Supreme Court made a 4-to-3 ruling that the treating physician may not “execute through an intermediate the duty to offer adequate information to obtain the informed consent of a patient. In concluding, the Megan Shinal majority judgment was based on Pennsylvania standard holding that the hospital does not have the duty to obtain the informed consent, since “only the treating physician who makes the procedure on a patient” has the duty. Hence, the physician cannot depend on the subordinate to make mandatory informed consent disclosures. The majority stated concerns about the “prevalence of the physician-patient association,” maintaining that “without dialogue and the two-sided exchange between the two parties, the physician then cannot be assured that the patient fully understands the required information. Also, the majority court opinion referred to the applicable legal text in the Medical Care Availability and Reduction of Error Act, which cites that “the physician owes the duty” to obtain the informed consent before a medical procedure.</w:t>
      </w:r>
    </w:p>
    <w:p w:rsidR="00C210A6" w:rsidRPr="00C210A6" w:rsidRDefault="00C210A6" w:rsidP="00A3716C">
      <w:pPr>
        <w:tabs>
          <w:tab w:val="left" w:pos="450"/>
        </w:tabs>
        <w:spacing w:before="240" w:line="480" w:lineRule="auto"/>
        <w:ind w:firstLine="720"/>
        <w:contextualSpacing/>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t>Even though the Shinal court decision is not legally binding outside Pennsylvania, the cases that bear dire ethical dimensions of informed consent have a long history of power beyond their jurisdictions. The court case led to broader discussion, and careful analysis of unsettled ethical queries concerning the “how” and “who” of consent; the questions have gotten considerably less consideration than the issue of “what” should be revealed and understood. There are various ways of ensuring that patients have the support and information needed to make choices that match with their inclinations. Thus, the eventual goal of consent is without directing that physicians execute their duty of consent alone, without help from the care team.</w:t>
      </w:r>
    </w:p>
    <w:p w:rsidR="00C210A6" w:rsidRPr="00C210A6" w:rsidRDefault="00C210A6" w:rsidP="00A3716C">
      <w:pPr>
        <w:tabs>
          <w:tab w:val="left" w:pos="450"/>
        </w:tabs>
        <w:spacing w:before="240" w:line="480" w:lineRule="auto"/>
        <w:ind w:firstLine="720"/>
        <w:contextualSpacing/>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lastRenderedPageBreak/>
        <w:t xml:space="preserve">The information provided in the article is beneficial to the administration and ethics research. The achievement of high-quality consent is complicated in the current health system. It necessitates patients who can make the appropriate decisions and conditions that ease deliberate choices. Also, it requires adequate disclosures of the material information to the patients, along with their understanding of the knowledge and an aptitude to fit it into the bigger context of their goals and lives. </w:t>
      </w:r>
      <w:r w:rsidR="00541D27">
        <w:rPr>
          <w:rFonts w:ascii="Times New Roman" w:eastAsia="Arial Unicode MS" w:hAnsi="Times New Roman" w:cs="Times New Roman"/>
          <w:color w:val="000000"/>
          <w:sz w:val="24"/>
          <w:szCs w:val="24"/>
          <w:shd w:val="clear" w:color="auto" w:fill="FFFFFF"/>
        </w:rPr>
        <w:t>C</w:t>
      </w:r>
      <w:r w:rsidRPr="00C210A6">
        <w:rPr>
          <w:rFonts w:ascii="Times New Roman" w:eastAsia="Arial Unicode MS" w:hAnsi="Times New Roman" w:cs="Times New Roman"/>
          <w:color w:val="000000"/>
          <w:sz w:val="24"/>
          <w:szCs w:val="24"/>
          <w:shd w:val="clear" w:color="auto" w:fill="FFFFFF"/>
        </w:rPr>
        <w:t>are professionals who seek consent should have adequate training, expertise, and judgment to know what should be disclosed and how to answer the questions. The healthcare team should have sound communication skills and take time before making any decisions.</w:t>
      </w:r>
    </w:p>
    <w:p w:rsidR="0013111A" w:rsidRDefault="00C210A6" w:rsidP="0013111A">
      <w:pPr>
        <w:tabs>
          <w:tab w:val="left" w:pos="450"/>
        </w:tabs>
        <w:spacing w:before="240" w:line="480" w:lineRule="auto"/>
        <w:ind w:firstLine="720"/>
        <w:contextualSpacing/>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t xml:space="preserve">Presently, the patients and physicians seldom attain the abstract ideal regarding informed consent, since physician-led consent discussions are ill-timed or ineffectual and in the outpatient medical practice, fewer patient decisions are sufficiently informed. Maybe with adequate time, the physicians would do much better. Nonetheless, this may lead to longer waiting times, difficulty in getting appointments, and more significant costs. In my opinion, the other members of the healthcare team, the physician assistants and nurses, possess the abilities and characteristics that are needed to execute or improve a high-quality consent discussion. The physicians could focus on expert tasks that only they have the skillset to conduct, while other team members partake in the informed consent procedures as they perform in other medical functions for which they are trained and directed. Hence, I am of the opinion that it is ethically acceptable, and should be lawfully permissible, to let physicians depend on the team members for support in exercising their informed consent duties. A qualified health professional under the supervision of the physician can educate the patient about the various benefits and risks of pertinent alternatives, with attention to elicit the values and goals of the patient. The physician </w:t>
      </w:r>
      <w:r w:rsidRPr="00C210A6">
        <w:rPr>
          <w:rFonts w:ascii="Times New Roman" w:eastAsia="Arial Unicode MS" w:hAnsi="Times New Roman" w:cs="Times New Roman"/>
          <w:color w:val="000000"/>
          <w:sz w:val="24"/>
          <w:szCs w:val="24"/>
          <w:shd w:val="clear" w:color="auto" w:fill="FFFFFF"/>
        </w:rPr>
        <w:lastRenderedPageBreak/>
        <w:t xml:space="preserve">can rejoin the process to answer any questions and uncertainties which assist the patient in </w:t>
      </w:r>
      <w:r w:rsidR="0013111A" w:rsidRPr="00C210A6">
        <w:rPr>
          <w:rFonts w:ascii="Times New Roman" w:eastAsia="Arial Unicode MS" w:hAnsi="Times New Roman" w:cs="Times New Roman"/>
          <w:color w:val="000000"/>
          <w:sz w:val="24"/>
          <w:szCs w:val="24"/>
          <w:shd w:val="clear" w:color="auto" w:fill="FFFFFF"/>
        </w:rPr>
        <w:t>authorizing</w:t>
      </w:r>
      <w:r w:rsidRPr="00C210A6">
        <w:rPr>
          <w:rFonts w:ascii="Times New Roman" w:eastAsia="Arial Unicode MS" w:hAnsi="Times New Roman" w:cs="Times New Roman"/>
          <w:color w:val="000000"/>
          <w:sz w:val="24"/>
          <w:szCs w:val="24"/>
          <w:shd w:val="clear" w:color="auto" w:fill="FFFFFF"/>
        </w:rPr>
        <w:t xml:space="preserve"> the last decision.</w:t>
      </w:r>
    </w:p>
    <w:p w:rsidR="0013111A" w:rsidRDefault="0013111A" w:rsidP="0013111A">
      <w:pPr>
        <w:tabs>
          <w:tab w:val="left" w:pos="450"/>
        </w:tabs>
        <w:spacing w:before="240" w:line="480" w:lineRule="auto"/>
        <w:contextualSpacing/>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rsidR="00237E0B" w:rsidRPr="00C210A6" w:rsidRDefault="00C210A6" w:rsidP="0013111A">
      <w:pPr>
        <w:tabs>
          <w:tab w:val="left" w:pos="450"/>
        </w:tabs>
        <w:spacing w:before="240" w:line="480" w:lineRule="auto"/>
        <w:contextualSpacing/>
        <w:jc w:val="center"/>
        <w:rPr>
          <w:rFonts w:ascii="Times New Roman" w:eastAsia="Arial Unicode MS" w:hAnsi="Times New Roman" w:cs="Times New Roman"/>
          <w:color w:val="000000"/>
          <w:sz w:val="24"/>
          <w:szCs w:val="24"/>
          <w:shd w:val="clear" w:color="auto" w:fill="FFFFFF"/>
        </w:rPr>
      </w:pPr>
      <w:r w:rsidRPr="00C210A6">
        <w:rPr>
          <w:rFonts w:ascii="Times New Roman" w:eastAsia="Arial Unicode MS" w:hAnsi="Times New Roman" w:cs="Times New Roman"/>
          <w:color w:val="000000"/>
          <w:sz w:val="24"/>
          <w:szCs w:val="24"/>
          <w:shd w:val="clear" w:color="auto" w:fill="FFFFFF"/>
        </w:rPr>
        <w:lastRenderedPageBreak/>
        <w:t>References</w:t>
      </w:r>
      <w:bookmarkStart w:id="0" w:name="_GoBack"/>
      <w:bookmarkEnd w:id="0"/>
    </w:p>
    <w:p w:rsidR="00615151" w:rsidRPr="00C210A6" w:rsidRDefault="00237E0B" w:rsidP="00A3716C">
      <w:pPr>
        <w:tabs>
          <w:tab w:val="left" w:pos="450"/>
        </w:tabs>
        <w:spacing w:after="0" w:line="480" w:lineRule="auto"/>
        <w:ind w:left="720" w:hanging="720"/>
        <w:rPr>
          <w:rFonts w:ascii="Times New Roman" w:hAnsi="Times New Roman" w:cs="Times New Roman"/>
          <w:b/>
          <w:sz w:val="24"/>
          <w:szCs w:val="24"/>
        </w:rPr>
      </w:pPr>
      <w:r w:rsidRPr="00C210A6">
        <w:rPr>
          <w:rFonts w:ascii="Times New Roman" w:eastAsia="Arial Unicode MS" w:hAnsi="Times New Roman" w:cs="Times New Roman"/>
          <w:color w:val="000000"/>
          <w:sz w:val="24"/>
          <w:szCs w:val="24"/>
          <w:shd w:val="clear" w:color="auto" w:fill="FFFFFF"/>
        </w:rPr>
        <w:t>Fernandez, L. H., Joffe, S., &amp; Feldman, E. A. (January 01, 2018). Informed Consent and the Role of the Treating Physician. </w:t>
      </w:r>
      <w:r w:rsidRPr="00C210A6">
        <w:rPr>
          <w:rFonts w:ascii="Times New Roman" w:eastAsia="Arial Unicode MS" w:hAnsi="Times New Roman" w:cs="Times New Roman"/>
          <w:i/>
          <w:iCs/>
          <w:color w:val="000000"/>
          <w:sz w:val="24"/>
          <w:szCs w:val="24"/>
          <w:shd w:val="clear" w:color="auto" w:fill="FFFFFF"/>
        </w:rPr>
        <w:t>The New England Journal of Medicine, 378, </w:t>
      </w:r>
      <w:r w:rsidRPr="00C210A6">
        <w:rPr>
          <w:rFonts w:ascii="Times New Roman" w:eastAsia="Arial Unicode MS" w:hAnsi="Times New Roman" w:cs="Times New Roman"/>
          <w:color w:val="000000"/>
          <w:sz w:val="24"/>
          <w:szCs w:val="24"/>
          <w:shd w:val="clear" w:color="auto" w:fill="FFFFFF"/>
        </w:rPr>
        <w:t>25, 2433-2438</w:t>
      </w:r>
      <w:r w:rsidR="00615151" w:rsidRPr="00C210A6">
        <w:rPr>
          <w:rFonts w:ascii="Times New Roman" w:hAnsi="Times New Roman" w:cs="Times New Roman"/>
          <w:color w:val="1D1D1D"/>
          <w:sz w:val="24"/>
          <w:szCs w:val="24"/>
          <w:shd w:val="clear" w:color="auto" w:fill="FFFFFF"/>
        </w:rPr>
        <w:t>.</w:t>
      </w:r>
    </w:p>
    <w:sectPr w:rsidR="00615151" w:rsidRPr="00C210A6" w:rsidSect="00B25B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2211" w:rsidRDefault="00D12211" w:rsidP="008B281B">
      <w:pPr>
        <w:spacing w:after="0" w:line="240" w:lineRule="auto"/>
      </w:pPr>
      <w:r>
        <w:separator/>
      </w:r>
    </w:p>
  </w:endnote>
  <w:endnote w:type="continuationSeparator" w:id="0">
    <w:p w:rsidR="00D12211" w:rsidRDefault="00D12211"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2211" w:rsidRDefault="00D12211" w:rsidP="008B281B">
      <w:pPr>
        <w:spacing w:after="0" w:line="240" w:lineRule="auto"/>
      </w:pPr>
      <w:r>
        <w:separator/>
      </w:r>
    </w:p>
  </w:footnote>
  <w:footnote w:type="continuationSeparator" w:id="0">
    <w:p w:rsidR="00D12211" w:rsidRDefault="00D12211"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76961254"/>
      <w:docPartObj>
        <w:docPartGallery w:val="Page Numbers (Top of Page)"/>
        <w:docPartUnique/>
      </w:docPartObj>
    </w:sdtPr>
    <w:sdtEndPr>
      <w:rPr>
        <w:noProof/>
      </w:rPr>
    </w:sdtEndPr>
    <w:sdtContent>
      <w:p w:rsidR="00B25BED" w:rsidRPr="00B25BED" w:rsidRDefault="00B25BED">
        <w:pPr>
          <w:pStyle w:val="Header"/>
          <w:jc w:val="right"/>
          <w:rPr>
            <w:rFonts w:ascii="Times New Roman" w:hAnsi="Times New Roman" w:cs="Times New Roman"/>
            <w:sz w:val="18"/>
            <w:szCs w:val="18"/>
          </w:rPr>
        </w:pPr>
        <w:r w:rsidRPr="00B25BED">
          <w:rPr>
            <w:rFonts w:ascii="Times New Roman" w:hAnsi="Times New Roman" w:cs="Times New Roman"/>
            <w:sz w:val="18"/>
            <w:szCs w:val="18"/>
          </w:rPr>
          <w:t xml:space="preserve">ARTICLE REVIEW 1: INFORMED CONSENT AND THE ROLE OF THE TREATING PHYSICIAN </w:t>
        </w:r>
        <w:r>
          <w:rPr>
            <w:rFonts w:ascii="Times New Roman" w:hAnsi="Times New Roman" w:cs="Times New Roman"/>
            <w:sz w:val="18"/>
            <w:szCs w:val="18"/>
          </w:rPr>
          <w:t xml:space="preserve">                                      </w:t>
        </w:r>
        <w:r w:rsidRPr="00B25BED">
          <w:rPr>
            <w:rFonts w:ascii="Times New Roman" w:hAnsi="Times New Roman" w:cs="Times New Roman"/>
            <w:sz w:val="18"/>
            <w:szCs w:val="18"/>
          </w:rPr>
          <w:fldChar w:fldCharType="begin"/>
        </w:r>
        <w:r w:rsidRPr="00B25BED">
          <w:rPr>
            <w:rFonts w:ascii="Times New Roman" w:hAnsi="Times New Roman" w:cs="Times New Roman"/>
            <w:sz w:val="18"/>
            <w:szCs w:val="18"/>
          </w:rPr>
          <w:instrText xml:space="preserve"> PAGE   \* MERGEFORMAT </w:instrText>
        </w:r>
        <w:r w:rsidRPr="00B25BED">
          <w:rPr>
            <w:rFonts w:ascii="Times New Roman" w:hAnsi="Times New Roman" w:cs="Times New Roman"/>
            <w:sz w:val="18"/>
            <w:szCs w:val="18"/>
          </w:rPr>
          <w:fldChar w:fldCharType="separate"/>
        </w:r>
        <w:r w:rsidRPr="00B25BED">
          <w:rPr>
            <w:rFonts w:ascii="Times New Roman" w:hAnsi="Times New Roman" w:cs="Times New Roman"/>
            <w:noProof/>
            <w:sz w:val="18"/>
            <w:szCs w:val="18"/>
          </w:rPr>
          <w:t>2</w:t>
        </w:r>
        <w:r w:rsidRPr="00B25BED">
          <w:rPr>
            <w:rFonts w:ascii="Times New Roman" w:hAnsi="Times New Roman" w:cs="Times New Roman"/>
            <w:noProof/>
            <w:sz w:val="18"/>
            <w:szCs w:val="18"/>
          </w:rPr>
          <w:fldChar w:fldCharType="end"/>
        </w:r>
      </w:p>
    </w:sdtContent>
  </w:sdt>
  <w:p w:rsidR="007E7E8F" w:rsidRPr="00B25BED" w:rsidRDefault="007E7E8F" w:rsidP="00B25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183557566"/>
      <w:docPartObj>
        <w:docPartGallery w:val="Page Numbers (Top of Page)"/>
        <w:docPartUnique/>
      </w:docPartObj>
    </w:sdtPr>
    <w:sdtEndPr>
      <w:rPr>
        <w:noProof/>
      </w:rPr>
    </w:sdtEndPr>
    <w:sdtContent>
      <w:p w:rsidR="00B25BED" w:rsidRPr="00B25BED" w:rsidRDefault="00B25BED">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B25BED">
          <w:rPr>
            <w:rFonts w:ascii="Times New Roman" w:hAnsi="Times New Roman" w:cs="Times New Roman"/>
            <w:sz w:val="18"/>
            <w:szCs w:val="18"/>
          </w:rPr>
          <w:t xml:space="preserve">ARTICLE REVIEW 1: INFORMED CONSENT AND THE ROLE OF THE TREATING PHYSICIAN </w:t>
        </w:r>
        <w:r>
          <w:rPr>
            <w:rFonts w:ascii="Times New Roman" w:hAnsi="Times New Roman" w:cs="Times New Roman"/>
            <w:sz w:val="18"/>
            <w:szCs w:val="18"/>
          </w:rPr>
          <w:t xml:space="preserve">             </w:t>
        </w:r>
        <w:r w:rsidRPr="00B25BED">
          <w:rPr>
            <w:rFonts w:ascii="Times New Roman" w:hAnsi="Times New Roman" w:cs="Times New Roman"/>
            <w:sz w:val="18"/>
            <w:szCs w:val="18"/>
          </w:rPr>
          <w:fldChar w:fldCharType="begin"/>
        </w:r>
        <w:r w:rsidRPr="00B25BED">
          <w:rPr>
            <w:rFonts w:ascii="Times New Roman" w:hAnsi="Times New Roman" w:cs="Times New Roman"/>
            <w:sz w:val="18"/>
            <w:szCs w:val="18"/>
          </w:rPr>
          <w:instrText xml:space="preserve"> PAGE   \* MERGEFORMAT </w:instrText>
        </w:r>
        <w:r w:rsidRPr="00B25BED">
          <w:rPr>
            <w:rFonts w:ascii="Times New Roman" w:hAnsi="Times New Roman" w:cs="Times New Roman"/>
            <w:sz w:val="18"/>
            <w:szCs w:val="18"/>
          </w:rPr>
          <w:fldChar w:fldCharType="separate"/>
        </w:r>
        <w:r w:rsidRPr="00B25BED">
          <w:rPr>
            <w:rFonts w:ascii="Times New Roman" w:hAnsi="Times New Roman" w:cs="Times New Roman"/>
            <w:noProof/>
            <w:sz w:val="18"/>
            <w:szCs w:val="18"/>
          </w:rPr>
          <w:t>2</w:t>
        </w:r>
        <w:r w:rsidRPr="00B25BED">
          <w:rPr>
            <w:rFonts w:ascii="Times New Roman" w:hAnsi="Times New Roman" w:cs="Times New Roman"/>
            <w:noProof/>
            <w:sz w:val="18"/>
            <w:szCs w:val="18"/>
          </w:rPr>
          <w:fldChar w:fldCharType="end"/>
        </w:r>
      </w:p>
    </w:sdtContent>
  </w:sdt>
  <w:p w:rsidR="00B25BED" w:rsidRDefault="00B25B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EF5E51"/>
    <w:multiLevelType w:val="multilevel"/>
    <w:tmpl w:val="2B7802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D53807"/>
    <w:multiLevelType w:val="multilevel"/>
    <w:tmpl w:val="26F29B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3284F"/>
    <w:multiLevelType w:val="multilevel"/>
    <w:tmpl w:val="0F1AB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5B795F"/>
    <w:multiLevelType w:val="multilevel"/>
    <w:tmpl w:val="F716AD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5" w15:restartNumberingAfterBreak="0">
    <w:nsid w:val="57843AF3"/>
    <w:multiLevelType w:val="hybridMultilevel"/>
    <w:tmpl w:val="5792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4A4869"/>
    <w:multiLevelType w:val="multilevel"/>
    <w:tmpl w:val="5E96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9"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3919A6"/>
    <w:multiLevelType w:val="multilevel"/>
    <w:tmpl w:val="79A41B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7453B6"/>
    <w:multiLevelType w:val="multilevel"/>
    <w:tmpl w:val="5A1679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715ED8"/>
    <w:multiLevelType w:val="multilevel"/>
    <w:tmpl w:val="B1CA1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7"/>
  </w:num>
  <w:num w:numId="2">
    <w:abstractNumId w:val="27"/>
  </w:num>
  <w:num w:numId="3">
    <w:abstractNumId w:val="13"/>
  </w:num>
  <w:num w:numId="4">
    <w:abstractNumId w:val="6"/>
  </w:num>
  <w:num w:numId="5">
    <w:abstractNumId w:val="24"/>
  </w:num>
  <w:num w:numId="6">
    <w:abstractNumId w:val="7"/>
  </w:num>
  <w:num w:numId="7">
    <w:abstractNumId w:val="11"/>
  </w:num>
  <w:num w:numId="8">
    <w:abstractNumId w:val="19"/>
  </w:num>
  <w:num w:numId="9">
    <w:abstractNumId w:val="39"/>
  </w:num>
  <w:num w:numId="10">
    <w:abstractNumId w:val="21"/>
  </w:num>
  <w:num w:numId="11">
    <w:abstractNumId w:val="20"/>
  </w:num>
  <w:num w:numId="12">
    <w:abstractNumId w:val="38"/>
  </w:num>
  <w:num w:numId="13">
    <w:abstractNumId w:val="8"/>
  </w:num>
  <w:num w:numId="14">
    <w:abstractNumId w:val="32"/>
  </w:num>
  <w:num w:numId="15">
    <w:abstractNumId w:val="36"/>
  </w:num>
  <w:num w:numId="16">
    <w:abstractNumId w:val="3"/>
  </w:num>
  <w:num w:numId="17">
    <w:abstractNumId w:val="14"/>
  </w:num>
  <w:num w:numId="18">
    <w:abstractNumId w:val="0"/>
  </w:num>
  <w:num w:numId="19">
    <w:abstractNumId w:val="4"/>
  </w:num>
  <w:num w:numId="20">
    <w:abstractNumId w:val="33"/>
  </w:num>
  <w:num w:numId="21">
    <w:abstractNumId w:val="12"/>
  </w:num>
  <w:num w:numId="22">
    <w:abstractNumId w:val="9"/>
  </w:num>
  <w:num w:numId="23">
    <w:abstractNumId w:val="29"/>
  </w:num>
  <w:num w:numId="24">
    <w:abstractNumId w:val="2"/>
  </w:num>
  <w:num w:numId="25">
    <w:abstractNumId w:val="23"/>
  </w:num>
  <w:num w:numId="26">
    <w:abstractNumId w:val="31"/>
  </w:num>
  <w:num w:numId="27">
    <w:abstractNumId w:val="18"/>
  </w:num>
  <w:num w:numId="28">
    <w:abstractNumId w:val="34"/>
  </w:num>
  <w:num w:numId="29">
    <w:abstractNumId w:val="15"/>
  </w:num>
  <w:num w:numId="30">
    <w:abstractNumId w:val="28"/>
  </w:num>
  <w:num w:numId="31">
    <w:abstractNumId w:val="16"/>
  </w:num>
  <w:num w:numId="32">
    <w:abstractNumId w:val="37"/>
  </w:num>
  <w:num w:numId="33">
    <w:abstractNumId w:val="26"/>
  </w:num>
  <w:num w:numId="34">
    <w:abstractNumId w:val="10"/>
  </w:num>
  <w:num w:numId="35">
    <w:abstractNumId w:val="5"/>
  </w:num>
  <w:num w:numId="36">
    <w:abstractNumId w:val="35"/>
  </w:num>
  <w:num w:numId="37">
    <w:abstractNumId w:val="30"/>
  </w:num>
  <w:num w:numId="38">
    <w:abstractNumId w:val="22"/>
  </w:num>
  <w:num w:numId="39">
    <w:abstractNumId w:val="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07D35"/>
    <w:rsid w:val="00010C44"/>
    <w:rsid w:val="00047582"/>
    <w:rsid w:val="00055A2C"/>
    <w:rsid w:val="00062CF6"/>
    <w:rsid w:val="000656CB"/>
    <w:rsid w:val="0007159E"/>
    <w:rsid w:val="00081CC8"/>
    <w:rsid w:val="000900B5"/>
    <w:rsid w:val="00092027"/>
    <w:rsid w:val="000A7990"/>
    <w:rsid w:val="000C4550"/>
    <w:rsid w:val="000D2428"/>
    <w:rsid w:val="000D61CB"/>
    <w:rsid w:val="0011160C"/>
    <w:rsid w:val="00116F6E"/>
    <w:rsid w:val="00122840"/>
    <w:rsid w:val="0013111A"/>
    <w:rsid w:val="00146F0B"/>
    <w:rsid w:val="00155C23"/>
    <w:rsid w:val="0018135F"/>
    <w:rsid w:val="001B078D"/>
    <w:rsid w:val="001D1C60"/>
    <w:rsid w:val="001F020D"/>
    <w:rsid w:val="001F1827"/>
    <w:rsid w:val="002018DE"/>
    <w:rsid w:val="00216EC7"/>
    <w:rsid w:val="00237E0B"/>
    <w:rsid w:val="002416EB"/>
    <w:rsid w:val="002664EA"/>
    <w:rsid w:val="00271F2C"/>
    <w:rsid w:val="0027589F"/>
    <w:rsid w:val="002A7388"/>
    <w:rsid w:val="002B1828"/>
    <w:rsid w:val="002D2C19"/>
    <w:rsid w:val="002F186E"/>
    <w:rsid w:val="002F6301"/>
    <w:rsid w:val="00313EC3"/>
    <w:rsid w:val="0033516E"/>
    <w:rsid w:val="00343DD9"/>
    <w:rsid w:val="0034479F"/>
    <w:rsid w:val="00366D9A"/>
    <w:rsid w:val="00373A6A"/>
    <w:rsid w:val="00393F6E"/>
    <w:rsid w:val="00397FDA"/>
    <w:rsid w:val="003B07E2"/>
    <w:rsid w:val="003C2C37"/>
    <w:rsid w:val="003D73FC"/>
    <w:rsid w:val="003E2F97"/>
    <w:rsid w:val="003F15E4"/>
    <w:rsid w:val="003F7508"/>
    <w:rsid w:val="00403C36"/>
    <w:rsid w:val="00415403"/>
    <w:rsid w:val="004244EA"/>
    <w:rsid w:val="00442A96"/>
    <w:rsid w:val="00456306"/>
    <w:rsid w:val="004564E8"/>
    <w:rsid w:val="00480F9B"/>
    <w:rsid w:val="00482FF3"/>
    <w:rsid w:val="004A3933"/>
    <w:rsid w:val="004C7A0B"/>
    <w:rsid w:val="004E3F05"/>
    <w:rsid w:val="004F3FB8"/>
    <w:rsid w:val="00502C47"/>
    <w:rsid w:val="00506E5D"/>
    <w:rsid w:val="00526504"/>
    <w:rsid w:val="00536B6E"/>
    <w:rsid w:val="005373B7"/>
    <w:rsid w:val="00537CBE"/>
    <w:rsid w:val="00541D27"/>
    <w:rsid w:val="00541D6F"/>
    <w:rsid w:val="005553D3"/>
    <w:rsid w:val="0057628A"/>
    <w:rsid w:val="00592EA8"/>
    <w:rsid w:val="005A3CFE"/>
    <w:rsid w:val="005B72E0"/>
    <w:rsid w:val="005C229F"/>
    <w:rsid w:val="005E3720"/>
    <w:rsid w:val="00607D9E"/>
    <w:rsid w:val="006131F1"/>
    <w:rsid w:val="00615151"/>
    <w:rsid w:val="00621C8F"/>
    <w:rsid w:val="00624918"/>
    <w:rsid w:val="00633D59"/>
    <w:rsid w:val="006643D6"/>
    <w:rsid w:val="006730AC"/>
    <w:rsid w:val="00674168"/>
    <w:rsid w:val="00675AC4"/>
    <w:rsid w:val="00691A75"/>
    <w:rsid w:val="00696739"/>
    <w:rsid w:val="006A1157"/>
    <w:rsid w:val="006A2985"/>
    <w:rsid w:val="006B19A0"/>
    <w:rsid w:val="006B5CFB"/>
    <w:rsid w:val="00702303"/>
    <w:rsid w:val="00715BDA"/>
    <w:rsid w:val="007173D1"/>
    <w:rsid w:val="00743B40"/>
    <w:rsid w:val="00756D94"/>
    <w:rsid w:val="007666C6"/>
    <w:rsid w:val="007875DF"/>
    <w:rsid w:val="007A5870"/>
    <w:rsid w:val="007B3D85"/>
    <w:rsid w:val="007C1176"/>
    <w:rsid w:val="007D26D3"/>
    <w:rsid w:val="007E7E45"/>
    <w:rsid w:val="007E7E8F"/>
    <w:rsid w:val="007F0594"/>
    <w:rsid w:val="00824566"/>
    <w:rsid w:val="00831E7B"/>
    <w:rsid w:val="0084150D"/>
    <w:rsid w:val="00845337"/>
    <w:rsid w:val="008843BB"/>
    <w:rsid w:val="00884799"/>
    <w:rsid w:val="008855D4"/>
    <w:rsid w:val="00897D86"/>
    <w:rsid w:val="008A33E7"/>
    <w:rsid w:val="008B281B"/>
    <w:rsid w:val="008C284C"/>
    <w:rsid w:val="008C4164"/>
    <w:rsid w:val="008C774E"/>
    <w:rsid w:val="008D7BCE"/>
    <w:rsid w:val="009012A6"/>
    <w:rsid w:val="009069A5"/>
    <w:rsid w:val="0092552D"/>
    <w:rsid w:val="009362E7"/>
    <w:rsid w:val="00936F3F"/>
    <w:rsid w:val="00943F6C"/>
    <w:rsid w:val="00985844"/>
    <w:rsid w:val="009A5F68"/>
    <w:rsid w:val="009B3CB7"/>
    <w:rsid w:val="009C41FB"/>
    <w:rsid w:val="009D46EA"/>
    <w:rsid w:val="009D72CB"/>
    <w:rsid w:val="009F0C26"/>
    <w:rsid w:val="00A27E84"/>
    <w:rsid w:val="00A3716C"/>
    <w:rsid w:val="00A478FB"/>
    <w:rsid w:val="00A47C64"/>
    <w:rsid w:val="00A538E4"/>
    <w:rsid w:val="00A67A9E"/>
    <w:rsid w:val="00A7149B"/>
    <w:rsid w:val="00A948A7"/>
    <w:rsid w:val="00A9790D"/>
    <w:rsid w:val="00AA6260"/>
    <w:rsid w:val="00AB4016"/>
    <w:rsid w:val="00AC061B"/>
    <w:rsid w:val="00AD1354"/>
    <w:rsid w:val="00AD360F"/>
    <w:rsid w:val="00AD3A6B"/>
    <w:rsid w:val="00AE1AC1"/>
    <w:rsid w:val="00AF133D"/>
    <w:rsid w:val="00B1112A"/>
    <w:rsid w:val="00B17439"/>
    <w:rsid w:val="00B25BED"/>
    <w:rsid w:val="00B41DD1"/>
    <w:rsid w:val="00B8169A"/>
    <w:rsid w:val="00BA446A"/>
    <w:rsid w:val="00BA7A58"/>
    <w:rsid w:val="00BC2353"/>
    <w:rsid w:val="00BC6CF6"/>
    <w:rsid w:val="00BD24E8"/>
    <w:rsid w:val="00BD2F51"/>
    <w:rsid w:val="00C0245D"/>
    <w:rsid w:val="00C210A6"/>
    <w:rsid w:val="00C34B8F"/>
    <w:rsid w:val="00C35E01"/>
    <w:rsid w:val="00C376D1"/>
    <w:rsid w:val="00C414EF"/>
    <w:rsid w:val="00C52F44"/>
    <w:rsid w:val="00C66025"/>
    <w:rsid w:val="00C72821"/>
    <w:rsid w:val="00C81336"/>
    <w:rsid w:val="00C83BB1"/>
    <w:rsid w:val="00C915C2"/>
    <w:rsid w:val="00CB0ED5"/>
    <w:rsid w:val="00CE39C0"/>
    <w:rsid w:val="00CF2A44"/>
    <w:rsid w:val="00CF69C4"/>
    <w:rsid w:val="00D12211"/>
    <w:rsid w:val="00D13875"/>
    <w:rsid w:val="00D22E62"/>
    <w:rsid w:val="00D237B8"/>
    <w:rsid w:val="00D65E46"/>
    <w:rsid w:val="00D80EBB"/>
    <w:rsid w:val="00D83F5C"/>
    <w:rsid w:val="00D86E84"/>
    <w:rsid w:val="00D94061"/>
    <w:rsid w:val="00DA1934"/>
    <w:rsid w:val="00DC29FD"/>
    <w:rsid w:val="00DE01E7"/>
    <w:rsid w:val="00E01591"/>
    <w:rsid w:val="00E036AD"/>
    <w:rsid w:val="00E12F6C"/>
    <w:rsid w:val="00E23113"/>
    <w:rsid w:val="00E43FD2"/>
    <w:rsid w:val="00E44F53"/>
    <w:rsid w:val="00E525AA"/>
    <w:rsid w:val="00E710AF"/>
    <w:rsid w:val="00E738AD"/>
    <w:rsid w:val="00E740AF"/>
    <w:rsid w:val="00E97498"/>
    <w:rsid w:val="00EC1152"/>
    <w:rsid w:val="00EC22CB"/>
    <w:rsid w:val="00EC60AA"/>
    <w:rsid w:val="00EE3A5D"/>
    <w:rsid w:val="00EF0141"/>
    <w:rsid w:val="00F05A8F"/>
    <w:rsid w:val="00F13D36"/>
    <w:rsid w:val="00F20A65"/>
    <w:rsid w:val="00F26C15"/>
    <w:rsid w:val="00F30CE7"/>
    <w:rsid w:val="00F41A5B"/>
    <w:rsid w:val="00F77AC7"/>
    <w:rsid w:val="00F87B81"/>
    <w:rsid w:val="00FA1935"/>
    <w:rsid w:val="00FA5932"/>
    <w:rsid w:val="00FD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1EEDB"/>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paragraph" w:customStyle="1" w:styleId="uk-text-justify">
    <w:name w:val="uk-text-justify"/>
    <w:basedOn w:val="Normal"/>
    <w:rsid w:val="000A79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
    <w:name w:val="tr"/>
    <w:basedOn w:val="DefaultParagraphFont"/>
    <w:rsid w:val="000A7990"/>
  </w:style>
  <w:style w:type="character" w:customStyle="1" w:styleId="uk-badge">
    <w:name w:val="uk-badge"/>
    <w:basedOn w:val="DefaultParagraphFont"/>
    <w:rsid w:val="000A7990"/>
  </w:style>
  <w:style w:type="paragraph" w:styleId="BodyText">
    <w:name w:val="Body Text"/>
    <w:basedOn w:val="Normal"/>
    <w:link w:val="BodyTextChar"/>
    <w:uiPriority w:val="1"/>
    <w:qFormat/>
    <w:rsid w:val="00010C44"/>
    <w:pPr>
      <w:widowControl w:val="0"/>
      <w:spacing w:after="0" w:line="240" w:lineRule="auto"/>
      <w:ind w:left="880"/>
    </w:pPr>
    <w:rPr>
      <w:rFonts w:ascii="Times New Roman" w:eastAsia="Times New Roman" w:hAnsi="Times New Roman"/>
    </w:rPr>
  </w:style>
  <w:style w:type="character" w:customStyle="1" w:styleId="BodyTextChar">
    <w:name w:val="Body Text Char"/>
    <w:basedOn w:val="DefaultParagraphFont"/>
    <w:link w:val="BodyText"/>
    <w:uiPriority w:val="1"/>
    <w:rsid w:val="00010C44"/>
    <w:rPr>
      <w:rFonts w:ascii="Times New Roman" w:eastAsia="Times New Roman" w:hAnsi="Times New Roman"/>
    </w:rPr>
  </w:style>
  <w:style w:type="table" w:styleId="GridTable3-Accent6">
    <w:name w:val="Grid Table 3 Accent 6"/>
    <w:basedOn w:val="TableNormal"/>
    <w:uiPriority w:val="48"/>
    <w:rsid w:val="005C229F"/>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2-Accent6">
    <w:name w:val="Grid Table 2 Accent 6"/>
    <w:basedOn w:val="TableNormal"/>
    <w:uiPriority w:val="47"/>
    <w:rsid w:val="005C229F"/>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87502052">
      <w:bodyDiv w:val="1"/>
      <w:marLeft w:val="0"/>
      <w:marRight w:val="0"/>
      <w:marTop w:val="0"/>
      <w:marBottom w:val="0"/>
      <w:divBdr>
        <w:top w:val="none" w:sz="0" w:space="0" w:color="auto"/>
        <w:left w:val="none" w:sz="0" w:space="0" w:color="auto"/>
        <w:bottom w:val="none" w:sz="0" w:space="0" w:color="auto"/>
        <w:right w:val="none" w:sz="0" w:space="0" w:color="auto"/>
      </w:divBdr>
    </w:div>
    <w:div w:id="10801241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65556869">
      <w:bodyDiv w:val="1"/>
      <w:marLeft w:val="0"/>
      <w:marRight w:val="0"/>
      <w:marTop w:val="0"/>
      <w:marBottom w:val="0"/>
      <w:divBdr>
        <w:top w:val="none" w:sz="0" w:space="0" w:color="auto"/>
        <w:left w:val="none" w:sz="0" w:space="0" w:color="auto"/>
        <w:bottom w:val="none" w:sz="0" w:space="0" w:color="auto"/>
        <w:right w:val="none" w:sz="0" w:space="0" w:color="auto"/>
      </w:divBdr>
    </w:div>
    <w:div w:id="185563197">
      <w:bodyDiv w:val="1"/>
      <w:marLeft w:val="0"/>
      <w:marRight w:val="0"/>
      <w:marTop w:val="0"/>
      <w:marBottom w:val="0"/>
      <w:divBdr>
        <w:top w:val="none" w:sz="0" w:space="0" w:color="auto"/>
        <w:left w:val="none" w:sz="0" w:space="0" w:color="auto"/>
        <w:bottom w:val="none" w:sz="0" w:space="0" w:color="auto"/>
        <w:right w:val="none" w:sz="0" w:space="0" w:color="auto"/>
      </w:divBdr>
    </w:div>
    <w:div w:id="192117996">
      <w:bodyDiv w:val="1"/>
      <w:marLeft w:val="0"/>
      <w:marRight w:val="0"/>
      <w:marTop w:val="0"/>
      <w:marBottom w:val="0"/>
      <w:divBdr>
        <w:top w:val="none" w:sz="0" w:space="0" w:color="auto"/>
        <w:left w:val="none" w:sz="0" w:space="0" w:color="auto"/>
        <w:bottom w:val="none" w:sz="0" w:space="0" w:color="auto"/>
        <w:right w:val="none" w:sz="0" w:space="0" w:color="auto"/>
      </w:divBdr>
    </w:div>
    <w:div w:id="236984339">
      <w:bodyDiv w:val="1"/>
      <w:marLeft w:val="0"/>
      <w:marRight w:val="0"/>
      <w:marTop w:val="0"/>
      <w:marBottom w:val="0"/>
      <w:divBdr>
        <w:top w:val="none" w:sz="0" w:space="0" w:color="auto"/>
        <w:left w:val="none" w:sz="0" w:space="0" w:color="auto"/>
        <w:bottom w:val="none" w:sz="0" w:space="0" w:color="auto"/>
        <w:right w:val="none" w:sz="0" w:space="0" w:color="auto"/>
      </w:divBdr>
    </w:div>
    <w:div w:id="249317665">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54621392">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542642329">
      <w:bodyDiv w:val="1"/>
      <w:marLeft w:val="0"/>
      <w:marRight w:val="0"/>
      <w:marTop w:val="0"/>
      <w:marBottom w:val="0"/>
      <w:divBdr>
        <w:top w:val="none" w:sz="0" w:space="0" w:color="auto"/>
        <w:left w:val="none" w:sz="0" w:space="0" w:color="auto"/>
        <w:bottom w:val="none" w:sz="0" w:space="0" w:color="auto"/>
        <w:right w:val="none" w:sz="0" w:space="0" w:color="auto"/>
      </w:divBdr>
    </w:div>
    <w:div w:id="582449577">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786389399">
      <w:bodyDiv w:val="1"/>
      <w:marLeft w:val="0"/>
      <w:marRight w:val="0"/>
      <w:marTop w:val="0"/>
      <w:marBottom w:val="0"/>
      <w:divBdr>
        <w:top w:val="none" w:sz="0" w:space="0" w:color="auto"/>
        <w:left w:val="none" w:sz="0" w:space="0" w:color="auto"/>
        <w:bottom w:val="none" w:sz="0" w:space="0" w:color="auto"/>
        <w:right w:val="none" w:sz="0" w:space="0" w:color="auto"/>
      </w:divBdr>
    </w:div>
    <w:div w:id="803431344">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991254224">
      <w:bodyDiv w:val="1"/>
      <w:marLeft w:val="0"/>
      <w:marRight w:val="0"/>
      <w:marTop w:val="0"/>
      <w:marBottom w:val="0"/>
      <w:divBdr>
        <w:top w:val="none" w:sz="0" w:space="0" w:color="auto"/>
        <w:left w:val="none" w:sz="0" w:space="0" w:color="auto"/>
        <w:bottom w:val="none" w:sz="0" w:space="0" w:color="auto"/>
        <w:right w:val="none" w:sz="0" w:space="0" w:color="auto"/>
      </w:divBdr>
    </w:div>
    <w:div w:id="1036081940">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148860919">
      <w:bodyDiv w:val="1"/>
      <w:marLeft w:val="0"/>
      <w:marRight w:val="0"/>
      <w:marTop w:val="0"/>
      <w:marBottom w:val="0"/>
      <w:divBdr>
        <w:top w:val="none" w:sz="0" w:space="0" w:color="auto"/>
        <w:left w:val="none" w:sz="0" w:space="0" w:color="auto"/>
        <w:bottom w:val="none" w:sz="0" w:space="0" w:color="auto"/>
        <w:right w:val="none" w:sz="0" w:space="0" w:color="auto"/>
      </w:divBdr>
    </w:div>
    <w:div w:id="1208103449">
      <w:bodyDiv w:val="1"/>
      <w:marLeft w:val="0"/>
      <w:marRight w:val="0"/>
      <w:marTop w:val="0"/>
      <w:marBottom w:val="0"/>
      <w:divBdr>
        <w:top w:val="none" w:sz="0" w:space="0" w:color="auto"/>
        <w:left w:val="none" w:sz="0" w:space="0" w:color="auto"/>
        <w:bottom w:val="none" w:sz="0" w:space="0" w:color="auto"/>
        <w:right w:val="none" w:sz="0" w:space="0" w:color="auto"/>
      </w:divBdr>
    </w:div>
    <w:div w:id="1289160841">
      <w:bodyDiv w:val="1"/>
      <w:marLeft w:val="0"/>
      <w:marRight w:val="0"/>
      <w:marTop w:val="0"/>
      <w:marBottom w:val="0"/>
      <w:divBdr>
        <w:top w:val="none" w:sz="0" w:space="0" w:color="auto"/>
        <w:left w:val="none" w:sz="0" w:space="0" w:color="auto"/>
        <w:bottom w:val="none" w:sz="0" w:space="0" w:color="auto"/>
        <w:right w:val="none" w:sz="0" w:space="0" w:color="auto"/>
      </w:divBdr>
    </w:div>
    <w:div w:id="1324239711">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392729606">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49618697">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931824">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44931456">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13926318">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5595772">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38003471">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57271-7BA8-4D72-8D36-E07652042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15</cp:revision>
  <cp:lastPrinted>2017-10-27T10:22:00Z</cp:lastPrinted>
  <dcterms:created xsi:type="dcterms:W3CDTF">2018-06-30T08:26:00Z</dcterms:created>
  <dcterms:modified xsi:type="dcterms:W3CDTF">2018-06-30T15:04:00Z</dcterms:modified>
</cp:coreProperties>
</file>